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005E1870"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FB4F91">
        <w:rPr>
          <w:rFonts w:cs="Arial" w:hint="eastAsia"/>
        </w:rPr>
        <w:t>30</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FB4F91">
        <w:rPr>
          <w:rFonts w:cs="Arial" w:hint="eastAsia"/>
        </w:rPr>
        <w:t>03641</w:t>
      </w:r>
    </w:p>
    <w:p w14:paraId="298061C1" w14:textId="51271CF5" w:rsidR="005857F6" w:rsidRPr="00863065" w:rsidRDefault="00B166C4" w:rsidP="005857F6">
      <w:pPr>
        <w:pStyle w:val="a7"/>
        <w:tabs>
          <w:tab w:val="left" w:pos="709"/>
          <w:tab w:val="right" w:pos="9639"/>
        </w:tabs>
        <w:spacing w:after="0"/>
        <w:jc w:val="left"/>
        <w:rPr>
          <w:rFonts w:cs="Arial"/>
          <w:lang w:val="en-US"/>
        </w:rPr>
      </w:pPr>
      <w:r>
        <w:rPr>
          <w:rFonts w:cs="Arial" w:hint="eastAsia"/>
          <w:lang w:val="en-US"/>
        </w:rPr>
        <w:t>Malta</w:t>
      </w:r>
      <w:r w:rsidR="005857F6">
        <w:rPr>
          <w:rFonts w:cs="Arial"/>
          <w:lang w:val="en-US"/>
        </w:rPr>
        <w:t xml:space="preserve">, </w:t>
      </w:r>
      <w:r>
        <w:rPr>
          <w:rFonts w:cs="Arial" w:hint="eastAsia"/>
          <w:lang w:val="en-US"/>
        </w:rPr>
        <w:t>19</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w:t>
      </w:r>
      <w:r w:rsidR="005857F6">
        <w:rPr>
          <w:rFonts w:cs="Arial"/>
          <w:lang w:val="en-US"/>
        </w:rPr>
        <w:t>3</w:t>
      </w:r>
      <w:r w:rsidR="005857F6" w:rsidRPr="00573901">
        <w:rPr>
          <w:rFonts w:cs="Arial"/>
          <w:vertAlign w:val="superscript"/>
          <w:lang w:val="en-US"/>
        </w:rPr>
        <w:t>rd</w:t>
      </w:r>
      <w:r w:rsidR="005857F6">
        <w:rPr>
          <w:rFonts w:cs="Arial"/>
          <w:lang w:val="en-US"/>
        </w:rPr>
        <w:t xml:space="preserve"> </w:t>
      </w:r>
      <w:r>
        <w:rPr>
          <w:rFonts w:cs="Arial" w:hint="eastAsia"/>
          <w:lang w:val="en-US"/>
        </w:rPr>
        <w:t>May</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FC37F67"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B4F91" w:rsidRPr="00FB4F91">
        <w:rPr>
          <w:rFonts w:cs="Arial" w:hint="eastAsia"/>
          <w:b/>
          <w:sz w:val="24"/>
        </w:rPr>
        <w:t>On remaining issues on A-IoT Paging</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37306C7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B4F91">
        <w:rPr>
          <w:rFonts w:cs="Arial" w:hint="eastAsia"/>
          <w:b/>
          <w:sz w:val="24"/>
        </w:rPr>
        <w:t>8</w:t>
      </w:r>
      <w:r>
        <w:rPr>
          <w:rFonts w:cs="Arial"/>
          <w:b/>
          <w:sz w:val="24"/>
        </w:rPr>
        <w:t>.</w:t>
      </w:r>
      <w:r w:rsidR="00FB4F91">
        <w:rPr>
          <w:rFonts w:cs="Arial" w:hint="eastAsia"/>
          <w:b/>
          <w:sz w:val="24"/>
        </w:rPr>
        <w:t>2</w:t>
      </w:r>
      <w:r>
        <w:rPr>
          <w:rFonts w:cs="Arial"/>
          <w:b/>
          <w:sz w:val="24"/>
        </w:rPr>
        <w:t>.</w:t>
      </w:r>
      <w:r w:rsidR="00FB4F91">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70FEA526" w:rsidR="007E2FC8" w:rsidRPr="00C6040F" w:rsidRDefault="00C6040F" w:rsidP="007E2FC8">
      <w:pPr>
        <w:rPr>
          <w:szCs w:val="22"/>
        </w:rPr>
      </w:pPr>
      <w:r>
        <w:rPr>
          <w:rFonts w:hint="eastAsia"/>
          <w:szCs w:val="22"/>
        </w:rPr>
        <w:t xml:space="preserve">This contribution is to provide our views on remaining issues collected in the offline discussion after RAN2#129-bis </w:t>
      </w:r>
      <w:r w:rsidR="006418C8">
        <w:rPr>
          <w:rFonts w:hint="eastAsia"/>
          <w:szCs w:val="22"/>
        </w:rPr>
        <w:t>[1]</w:t>
      </w:r>
      <w:r>
        <w:rPr>
          <w:rFonts w:hint="eastAsia"/>
          <w:szCs w:val="22"/>
        </w:rPr>
        <w:t>.</w:t>
      </w:r>
    </w:p>
    <w:p w14:paraId="375CDE38" w14:textId="77777777" w:rsidR="007E2FC8" w:rsidRDefault="007E2FC8" w:rsidP="007E2FC8">
      <w:pPr>
        <w:pStyle w:val="2"/>
        <w:numPr>
          <w:ilvl w:val="0"/>
          <w:numId w:val="2"/>
        </w:numPr>
      </w:pPr>
      <w:r>
        <w:rPr>
          <w:rFonts w:hint="eastAsia"/>
        </w:rPr>
        <w:t>Discussion</w:t>
      </w:r>
    </w:p>
    <w:p w14:paraId="00C5D3A1" w14:textId="2F28C151" w:rsidR="007E2FC8" w:rsidRDefault="008B5445" w:rsidP="008B5445">
      <w:pPr>
        <w:pStyle w:val="2"/>
        <w:ind w:left="992" w:firstLine="0"/>
        <w:rPr>
          <w:rFonts w:cs="Arial"/>
        </w:rPr>
      </w:pPr>
      <w:r>
        <w:rPr>
          <w:rFonts w:cs="Arial" w:hint="eastAsia"/>
        </w:rPr>
        <w:t>Issue 1-1: multi-reader paging</w:t>
      </w:r>
    </w:p>
    <w:tbl>
      <w:tblPr>
        <w:tblStyle w:val="aa"/>
        <w:tblW w:w="9757" w:type="dxa"/>
        <w:tblLayout w:type="fixed"/>
        <w:tblLook w:val="04A0" w:firstRow="1" w:lastRow="0" w:firstColumn="1" w:lastColumn="0" w:noHBand="0" w:noVBand="1"/>
      </w:tblPr>
      <w:tblGrid>
        <w:gridCol w:w="1413"/>
        <w:gridCol w:w="6843"/>
        <w:gridCol w:w="1501"/>
      </w:tblGrid>
      <w:tr w:rsidR="00605717" w14:paraId="7F55F610" w14:textId="77777777" w:rsidTr="00605717">
        <w:trPr>
          <w:trHeight w:val="490"/>
        </w:trPr>
        <w:tc>
          <w:tcPr>
            <w:tcW w:w="1413" w:type="dxa"/>
          </w:tcPr>
          <w:p w14:paraId="5DE5AA14"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4EBAA8D1"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69EB34D0"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rsidRPr="00926FD3" w14:paraId="2334BD50" w14:textId="77777777" w:rsidTr="00605717">
        <w:tc>
          <w:tcPr>
            <w:tcW w:w="1413" w:type="dxa"/>
          </w:tcPr>
          <w:p w14:paraId="21D1D1C0"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1-1: multi-reader paging</w:t>
            </w:r>
          </w:p>
        </w:tc>
        <w:tc>
          <w:tcPr>
            <w:tcW w:w="6843" w:type="dxa"/>
          </w:tcPr>
          <w:p w14:paraId="09688181"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If a device gets a new service request while one procedure is still ongoing, whether/how to specify device behaviour or leave it to implementation, and the end of procedure if needed.</w:t>
            </w:r>
          </w:p>
          <w:p w14:paraId="093CE1AC"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Relevant agreements: </w:t>
            </w:r>
          </w:p>
          <w:p w14:paraId="7FAA329C"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RAN2 acknowledges that multi-reader scenario may exist but we will not specify something specific for this purpose.  We can rely on transaction ID and implementation to handle it.    </w:t>
            </w:r>
          </w:p>
          <w:p w14:paraId="3F64948A"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FFS which solution if any for device behavior if it gets a new service request while one procedure is still ongoing or leave it to implementation. </w:t>
            </w:r>
            <w:r w:rsidRPr="00605717">
              <w:rPr>
                <w:rFonts w:ascii="Times New Roman" w:hAnsi="Times New Roman" w:cs="Times New Roman"/>
                <w:i/>
                <w:iCs/>
                <w:color w:val="5B9BD5" w:themeColor="accent1"/>
                <w:sz w:val="20"/>
                <w:szCs w:val="20"/>
                <w:lang w:eastAsia="sv-SE"/>
              </w:rPr>
              <w:tab/>
            </w:r>
          </w:p>
          <w:p w14:paraId="10A3545E"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64E852A4"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FFS on end of procedure</w:t>
            </w:r>
          </w:p>
          <w:p w14:paraId="3FB75C22"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Status in running CR: captured as Editor’s Note in 5.2.</w:t>
            </w:r>
          </w:p>
        </w:tc>
        <w:tc>
          <w:tcPr>
            <w:tcW w:w="1501" w:type="dxa"/>
          </w:tcPr>
          <w:p w14:paraId="7856562C"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To be discussed by company contributions</w:t>
            </w:r>
          </w:p>
        </w:tc>
      </w:tr>
    </w:tbl>
    <w:p w14:paraId="08DE6935" w14:textId="525C95ED" w:rsidR="00B84F99" w:rsidRPr="00B84F99" w:rsidRDefault="00B84F99" w:rsidP="00B84F99">
      <w:pPr>
        <w:rPr>
          <w:bCs/>
          <w:szCs w:val="22"/>
        </w:rPr>
      </w:pPr>
      <w:r w:rsidRPr="00B84F99">
        <w:rPr>
          <w:bCs/>
          <w:szCs w:val="22"/>
        </w:rPr>
        <w:t xml:space="preserve">Firstly, it is </w:t>
      </w:r>
      <w:r>
        <w:rPr>
          <w:rFonts w:hint="eastAsia"/>
          <w:bCs/>
          <w:szCs w:val="22"/>
        </w:rPr>
        <w:t>better</w:t>
      </w:r>
      <w:r w:rsidRPr="00B84F99">
        <w:rPr>
          <w:bCs/>
          <w:szCs w:val="22"/>
        </w:rPr>
        <w:t xml:space="preserve"> to avoid leaving the behavior of the device upon receiving a new paging message up to the device implementation. The reason is that </w:t>
      </w:r>
      <w:r>
        <w:rPr>
          <w:rFonts w:hint="eastAsia"/>
          <w:bCs/>
          <w:szCs w:val="22"/>
        </w:rPr>
        <w:t xml:space="preserve">in this case </w:t>
      </w:r>
      <w:r w:rsidRPr="00B84F99">
        <w:rPr>
          <w:bCs/>
          <w:szCs w:val="22"/>
        </w:rPr>
        <w:t>network implementation needs to accommodate all device implementations, which would also impose an operational burden on the operator.</w:t>
      </w:r>
      <w:r w:rsidR="002164B0">
        <w:rPr>
          <w:rFonts w:hint="eastAsia"/>
          <w:bCs/>
          <w:szCs w:val="22"/>
        </w:rPr>
        <w:t xml:space="preserve"> </w:t>
      </w:r>
      <w:r w:rsidRPr="00B84F99">
        <w:rPr>
          <w:bCs/>
          <w:szCs w:val="22"/>
        </w:rPr>
        <w:t>For instance, in a</w:t>
      </w:r>
      <w:r>
        <w:rPr>
          <w:rFonts w:hint="eastAsia"/>
          <w:bCs/>
          <w:szCs w:val="22"/>
        </w:rPr>
        <w:t xml:space="preserve"> scenario</w:t>
      </w:r>
      <w:r w:rsidRPr="00B84F99">
        <w:rPr>
          <w:bCs/>
          <w:szCs w:val="22"/>
        </w:rPr>
        <w:t xml:space="preserve"> where </w:t>
      </w:r>
      <w:r>
        <w:rPr>
          <w:rFonts w:hint="eastAsia"/>
          <w:bCs/>
          <w:szCs w:val="22"/>
        </w:rPr>
        <w:t>neighboring</w:t>
      </w:r>
      <w:r w:rsidRPr="00B84F99">
        <w:rPr>
          <w:bCs/>
          <w:szCs w:val="22"/>
        </w:rPr>
        <w:t xml:space="preserve"> readers send paging messages </w:t>
      </w:r>
      <w:r>
        <w:rPr>
          <w:rFonts w:hint="eastAsia"/>
          <w:bCs/>
          <w:szCs w:val="22"/>
        </w:rPr>
        <w:t xml:space="preserve">with </w:t>
      </w:r>
      <w:r w:rsidR="00634B6A">
        <w:rPr>
          <w:bCs/>
          <w:szCs w:val="22"/>
        </w:rPr>
        <w:t>different</w:t>
      </w:r>
      <w:r>
        <w:rPr>
          <w:rFonts w:hint="eastAsia"/>
          <w:bCs/>
          <w:szCs w:val="22"/>
        </w:rPr>
        <w:t xml:space="preserve"> Transaction ID from each other</w:t>
      </w:r>
      <w:r w:rsidRPr="00B84F99">
        <w:rPr>
          <w:bCs/>
          <w:szCs w:val="22"/>
        </w:rPr>
        <w:t xml:space="preserve">, if a device fails to respond to the paging message contrary to the operator's expectation, the operator would need to know the timing of the two readers sending the paging messages as well as the implementation of the problematic device to identify the cause. Since the implementation details of the device are </w:t>
      </w:r>
      <w:r w:rsidR="00634B6A" w:rsidRPr="00B84F99">
        <w:rPr>
          <w:bCs/>
          <w:szCs w:val="22"/>
        </w:rPr>
        <w:t>beyond</w:t>
      </w:r>
      <w:r w:rsidRPr="00B84F99">
        <w:rPr>
          <w:bCs/>
          <w:szCs w:val="22"/>
        </w:rPr>
        <w:t xml:space="preserve"> the operator's knowledge, identifying the issue would require a higher level of effort.</w:t>
      </w:r>
    </w:p>
    <w:p w14:paraId="761261FC" w14:textId="319BDE73" w:rsidR="008B5445" w:rsidRDefault="00B84F99" w:rsidP="007E2FC8">
      <w:pPr>
        <w:rPr>
          <w:bCs/>
          <w:szCs w:val="22"/>
        </w:rPr>
      </w:pPr>
      <w:r w:rsidRPr="00B84F99">
        <w:rPr>
          <w:bCs/>
          <w:szCs w:val="22"/>
        </w:rPr>
        <w:t>Therefore, RAN2 should specify the behavior of the device when receiving a new paging message. Referring to the discussions from the previous meeting, there are two options: (1) the device ignores the new paging if it is currently executing a procedure, or (2) the device receives the new paging</w:t>
      </w:r>
      <w:r>
        <w:rPr>
          <w:rFonts w:hint="eastAsia"/>
          <w:bCs/>
          <w:szCs w:val="22"/>
        </w:rPr>
        <w:t xml:space="preserve"> unless other conditions meet (e.g. that of transaction ID)</w:t>
      </w:r>
      <w:r w:rsidRPr="00B84F99">
        <w:rPr>
          <w:bCs/>
          <w:szCs w:val="22"/>
        </w:rPr>
        <w:t>.</w:t>
      </w:r>
    </w:p>
    <w:p w14:paraId="2B3FB486" w14:textId="45927140" w:rsidR="005A2CF6" w:rsidRDefault="005A2CF6" w:rsidP="007E2FC8">
      <w:pPr>
        <w:rPr>
          <w:bCs/>
          <w:szCs w:val="22"/>
        </w:rPr>
      </w:pPr>
      <w:r w:rsidRPr="005A2CF6">
        <w:rPr>
          <w:bCs/>
          <w:szCs w:val="22"/>
        </w:rPr>
        <w:t>If option (1)</w:t>
      </w:r>
      <w:r w:rsidR="000D6A86">
        <w:rPr>
          <w:rFonts w:hint="eastAsia"/>
          <w:bCs/>
          <w:szCs w:val="22"/>
        </w:rPr>
        <w:t>, i.e., device ignores new paging while procedure is ongoing,</w:t>
      </w:r>
      <w:r w:rsidRPr="005A2CF6">
        <w:rPr>
          <w:bCs/>
          <w:szCs w:val="22"/>
        </w:rPr>
        <w:t xml:space="preserve"> is adopted, RAN2 needs to define the timing when the device completes the procedure. We understand the </w:t>
      </w:r>
      <w:r>
        <w:rPr>
          <w:rFonts w:hint="eastAsia"/>
          <w:bCs/>
          <w:szCs w:val="22"/>
        </w:rPr>
        <w:t>argument</w:t>
      </w:r>
      <w:r w:rsidRPr="005A2CF6">
        <w:rPr>
          <w:bCs/>
          <w:szCs w:val="22"/>
        </w:rPr>
        <w:t xml:space="preserve"> raised by companies during the previous meeting. Specifically, if </w:t>
      </w:r>
      <w:r w:rsidR="00634B6A" w:rsidRPr="005A2CF6">
        <w:rPr>
          <w:bCs/>
          <w:szCs w:val="22"/>
        </w:rPr>
        <w:t>the completion</w:t>
      </w:r>
      <w:r w:rsidRPr="005A2CF6">
        <w:rPr>
          <w:bCs/>
          <w:szCs w:val="22"/>
        </w:rPr>
        <w:t xml:space="preserve"> timing of the procedure is defined as the moment a specific R2D message is received, then if the device fails to receive that R2D </w:t>
      </w:r>
      <w:r w:rsidRPr="005A2CF6">
        <w:rPr>
          <w:bCs/>
          <w:szCs w:val="22"/>
        </w:rPr>
        <w:lastRenderedPageBreak/>
        <w:t xml:space="preserve">message, it </w:t>
      </w:r>
      <w:r w:rsidR="00634B6A" w:rsidRPr="005A2CF6">
        <w:rPr>
          <w:bCs/>
          <w:szCs w:val="22"/>
        </w:rPr>
        <w:t>will</w:t>
      </w:r>
      <w:r w:rsidRPr="005A2CF6">
        <w:rPr>
          <w:bCs/>
          <w:szCs w:val="22"/>
        </w:rPr>
        <w:t xml:space="preserve"> fall into a deadlock state where it cannot receive any new paging messages.</w:t>
      </w:r>
      <w:r>
        <w:rPr>
          <w:rFonts w:hint="eastAsia"/>
          <w:bCs/>
          <w:szCs w:val="22"/>
        </w:rPr>
        <w:t xml:space="preserve"> We </w:t>
      </w:r>
      <w:r w:rsidR="00634B6A">
        <w:rPr>
          <w:bCs/>
          <w:szCs w:val="22"/>
        </w:rPr>
        <w:t>therefore support</w:t>
      </w:r>
      <w:r>
        <w:rPr>
          <w:rFonts w:hint="eastAsia"/>
          <w:bCs/>
          <w:szCs w:val="22"/>
        </w:rPr>
        <w:t xml:space="preserve"> option (2)</w:t>
      </w:r>
      <w:r w:rsidR="000D6A86">
        <w:rPr>
          <w:rFonts w:hint="eastAsia"/>
          <w:bCs/>
          <w:szCs w:val="22"/>
        </w:rPr>
        <w:t xml:space="preserve">, i.e., </w:t>
      </w:r>
      <w:r w:rsidR="00634B6A">
        <w:rPr>
          <w:bCs/>
          <w:szCs w:val="22"/>
        </w:rPr>
        <w:t>the device</w:t>
      </w:r>
      <w:r w:rsidR="000D6A86">
        <w:rPr>
          <w:rFonts w:hint="eastAsia"/>
          <w:bCs/>
          <w:szCs w:val="22"/>
        </w:rPr>
        <w:t xml:space="preserve"> receives new paging messages</w:t>
      </w:r>
      <w:r>
        <w:rPr>
          <w:rFonts w:hint="eastAsia"/>
          <w:bCs/>
          <w:szCs w:val="22"/>
        </w:rPr>
        <w:t>.</w:t>
      </w:r>
    </w:p>
    <w:p w14:paraId="6A9B9194" w14:textId="1A81494C" w:rsidR="005A2CF6" w:rsidRDefault="005A2CF6" w:rsidP="005A2CF6">
      <w:pPr>
        <w:pStyle w:val="ObservationandProposal"/>
      </w:pPr>
      <w:r>
        <w:rPr>
          <w:rFonts w:hint="eastAsia"/>
        </w:rPr>
        <w:t xml:space="preserve">Proposal </w:t>
      </w:r>
      <w:r w:rsidR="00362CFA">
        <w:rPr>
          <w:rFonts w:hint="eastAsia"/>
        </w:rPr>
        <w:t>1</w:t>
      </w:r>
      <w:r>
        <w:rPr>
          <w:rFonts w:hint="eastAsia"/>
        </w:rPr>
        <w:t>.</w:t>
      </w:r>
      <w:r>
        <w:tab/>
      </w:r>
      <w:r>
        <w:rPr>
          <w:rFonts w:hint="eastAsia"/>
        </w:rPr>
        <w:t xml:space="preserve">(Issue 1-1) The device </w:t>
      </w:r>
      <w:r w:rsidRPr="00B84F99">
        <w:t>receives the new paging</w:t>
      </w:r>
      <w:r>
        <w:rPr>
          <w:rFonts w:hint="eastAsia"/>
          <w:bCs w:val="0"/>
        </w:rPr>
        <w:t xml:space="preserve"> unless other conditions meet (e.g. that of transaction ID)</w:t>
      </w:r>
      <w:r w:rsidRPr="00B84F99">
        <w:t>.</w:t>
      </w:r>
    </w:p>
    <w:p w14:paraId="6A01EE7C" w14:textId="77777777" w:rsidR="005A2CF6" w:rsidRPr="005A2CF6" w:rsidRDefault="005A2CF6" w:rsidP="007E2FC8">
      <w:pPr>
        <w:rPr>
          <w:bCs/>
          <w:szCs w:val="22"/>
        </w:rPr>
      </w:pPr>
    </w:p>
    <w:p w14:paraId="622B372B" w14:textId="7A68E8EE" w:rsidR="007E2FC8" w:rsidRDefault="008B5445" w:rsidP="008B5445">
      <w:pPr>
        <w:pStyle w:val="2"/>
        <w:ind w:left="992" w:firstLine="0"/>
        <w:rPr>
          <w:rFonts w:cs="Arial"/>
        </w:rPr>
      </w:pPr>
      <w:r>
        <w:rPr>
          <w:rFonts w:cs="Arial" w:hint="eastAsia"/>
        </w:rPr>
        <w:t>Issue 1-2: transaction ID</w:t>
      </w:r>
    </w:p>
    <w:tbl>
      <w:tblPr>
        <w:tblStyle w:val="aa"/>
        <w:tblW w:w="9757" w:type="dxa"/>
        <w:tblLayout w:type="fixed"/>
        <w:tblLook w:val="04A0" w:firstRow="1" w:lastRow="0" w:firstColumn="1" w:lastColumn="0" w:noHBand="0" w:noVBand="1"/>
      </w:tblPr>
      <w:tblGrid>
        <w:gridCol w:w="1413"/>
        <w:gridCol w:w="6843"/>
        <w:gridCol w:w="1501"/>
      </w:tblGrid>
      <w:tr w:rsidR="00605717" w14:paraId="470E43DD" w14:textId="77777777" w:rsidTr="00605717">
        <w:trPr>
          <w:trHeight w:val="490"/>
        </w:trPr>
        <w:tc>
          <w:tcPr>
            <w:tcW w:w="1413" w:type="dxa"/>
          </w:tcPr>
          <w:p w14:paraId="2F6A89E3"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25389D50"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07F7C35C"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14:paraId="57F61B18" w14:textId="77777777" w:rsidTr="00605717">
        <w:tc>
          <w:tcPr>
            <w:tcW w:w="1413" w:type="dxa"/>
          </w:tcPr>
          <w:p w14:paraId="3EFDDB70"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 xml:space="preserve">Issue 1-2: transaction ID </w:t>
            </w:r>
          </w:p>
        </w:tc>
        <w:tc>
          <w:tcPr>
            <w:tcW w:w="6843" w:type="dxa"/>
          </w:tcPr>
          <w:p w14:paraId="2BD837AC"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Whether/how to specify how the reader generate Transaction ID, and the size</w:t>
            </w:r>
          </w:p>
          <w:p w14:paraId="20DC8F1D"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Relevant agreements: </w:t>
            </w:r>
          </w:p>
          <w:p w14:paraId="486B05E7"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The “transaction ID” can be generated by reader based on CN corelation ID.  FFS how reader will generate “transaction ID”.  FFS the size of transaction ID</w:t>
            </w:r>
          </w:p>
          <w:p w14:paraId="4CCE5BDD"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1 bit solution is excluded.   FFS the size.  Aim to have a reasonable size</w:t>
            </w:r>
          </w:p>
          <w:p w14:paraId="23A70B2C"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Status in running CR: captured as Editor’s Note in 6.2.1.1.</w:t>
            </w:r>
          </w:p>
        </w:tc>
        <w:tc>
          <w:tcPr>
            <w:tcW w:w="1501" w:type="dxa"/>
          </w:tcPr>
          <w:p w14:paraId="5A646150"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To be discussed by company contributions</w:t>
            </w:r>
          </w:p>
        </w:tc>
      </w:tr>
    </w:tbl>
    <w:p w14:paraId="43AEB624" w14:textId="2C5535CE" w:rsidR="00AE37F9" w:rsidRPr="00AE37F9" w:rsidRDefault="005A5281" w:rsidP="00AE37F9">
      <w:pPr>
        <w:rPr>
          <w:szCs w:val="22"/>
        </w:rPr>
      </w:pPr>
      <w:r>
        <w:rPr>
          <w:rFonts w:hint="eastAsia"/>
          <w:szCs w:val="22"/>
        </w:rPr>
        <w:t>I</w:t>
      </w:r>
      <w:r w:rsidR="00AE37F9" w:rsidRPr="00AE37F9">
        <w:rPr>
          <w:szCs w:val="22"/>
        </w:rPr>
        <w:t xml:space="preserve">n the Rel-19 scenario, it is possible for multiple readers to send paging messages to the same device. </w:t>
      </w:r>
      <w:r>
        <w:rPr>
          <w:rFonts w:hint="eastAsia"/>
          <w:szCs w:val="22"/>
        </w:rPr>
        <w:t>As we agreed, t</w:t>
      </w:r>
      <w:r w:rsidR="00AE37F9" w:rsidRPr="00AE37F9">
        <w:rPr>
          <w:szCs w:val="22"/>
        </w:rPr>
        <w:t xml:space="preserve">here are two options for how the reader generates the transaction ID: (1) generated by the reader's implementation, or (2) generated </w:t>
      </w:r>
      <w:r>
        <w:rPr>
          <w:rFonts w:hint="eastAsia"/>
          <w:szCs w:val="22"/>
        </w:rPr>
        <w:t>in specified way ba</w:t>
      </w:r>
      <w:r w:rsidR="00AE37F9" w:rsidRPr="00AE37F9">
        <w:rPr>
          <w:szCs w:val="22"/>
        </w:rPr>
        <w:t>sed on the correlation ID instructed by AIOTF.</w:t>
      </w:r>
    </w:p>
    <w:p w14:paraId="208E50EE" w14:textId="589753CE" w:rsidR="00AE37F9" w:rsidRDefault="00AE37F9" w:rsidP="00AE37F9">
      <w:pPr>
        <w:rPr>
          <w:szCs w:val="22"/>
        </w:rPr>
      </w:pPr>
      <w:r w:rsidRPr="00AE37F9">
        <w:rPr>
          <w:szCs w:val="22"/>
        </w:rPr>
        <w:t xml:space="preserve">Our understanding is that Option (1) cannot guarantee the desired behavior. This is because, </w:t>
      </w:r>
      <w:r>
        <w:rPr>
          <w:rFonts w:hint="eastAsia"/>
          <w:szCs w:val="22"/>
        </w:rPr>
        <w:t>in terms of</w:t>
      </w:r>
      <w:r w:rsidRPr="00AE37F9">
        <w:rPr>
          <w:szCs w:val="22"/>
        </w:rPr>
        <w:t xml:space="preserve"> specifications, readers do not perform inter-reader coordination when generating transaction IDs.</w:t>
      </w:r>
    </w:p>
    <w:p w14:paraId="7C94C2FB" w14:textId="49C742F8" w:rsidR="005A5281" w:rsidRDefault="005A5281" w:rsidP="005A5281">
      <w:pPr>
        <w:rPr>
          <w:szCs w:val="22"/>
        </w:rPr>
      </w:pPr>
      <w:r w:rsidRPr="005A5281">
        <w:rPr>
          <w:szCs w:val="22"/>
        </w:rPr>
        <w:t>Therefore, we believe it is best to adopt option (2), which means specifying how to generate the transaction ID based on the correlation ID.</w:t>
      </w:r>
      <w:r>
        <w:rPr>
          <w:rFonts w:hint="eastAsia"/>
          <w:szCs w:val="22"/>
        </w:rPr>
        <w:t xml:space="preserve"> The simplest way is to use a part of correlation ID as a transaction ID. We would like to note that we should ask SA2 whether AIOTF can indicate different correlation IDs for different readers.</w:t>
      </w:r>
    </w:p>
    <w:p w14:paraId="33366640" w14:textId="3FC727FC" w:rsidR="005A5281" w:rsidRDefault="005A5281" w:rsidP="005A5281">
      <w:pPr>
        <w:pStyle w:val="ObservationandProposal"/>
      </w:pPr>
      <w:r>
        <w:rPr>
          <w:rFonts w:hint="eastAsia"/>
        </w:rPr>
        <w:t xml:space="preserve">Proposal </w:t>
      </w:r>
      <w:r w:rsidR="00362CFA">
        <w:rPr>
          <w:rFonts w:hint="eastAsia"/>
        </w:rPr>
        <w:t>2</w:t>
      </w:r>
      <w:r>
        <w:rPr>
          <w:rFonts w:hint="eastAsia"/>
        </w:rPr>
        <w:t>.</w:t>
      </w:r>
      <w:r>
        <w:tab/>
      </w:r>
      <w:r>
        <w:rPr>
          <w:rFonts w:hint="eastAsia"/>
        </w:rPr>
        <w:t>(Issue 1-2) Part of correlation ID indicated by AIOTF is reused for transaction ID.</w:t>
      </w:r>
    </w:p>
    <w:p w14:paraId="0E0C5005" w14:textId="319F6A8A" w:rsidR="005A5281" w:rsidRPr="005A5281" w:rsidRDefault="005A5281" w:rsidP="005A5281">
      <w:pPr>
        <w:pStyle w:val="ObservationandProposal"/>
      </w:pPr>
      <w:r>
        <w:rPr>
          <w:rFonts w:hint="eastAsia"/>
        </w:rPr>
        <w:t xml:space="preserve">Proposal </w:t>
      </w:r>
      <w:r w:rsidR="00362CFA">
        <w:rPr>
          <w:rFonts w:hint="eastAsia"/>
        </w:rPr>
        <w:t>3</w:t>
      </w:r>
      <w:r>
        <w:rPr>
          <w:rFonts w:hint="eastAsia"/>
        </w:rPr>
        <w:t>.</w:t>
      </w:r>
      <w:r>
        <w:tab/>
      </w:r>
      <w:r>
        <w:rPr>
          <w:rFonts w:hint="eastAsia"/>
        </w:rPr>
        <w:t>(Issue 1-2) Ask SA2 whether AIOTF can indicate different correlation IDs for different readers for the same paging request.</w:t>
      </w:r>
    </w:p>
    <w:p w14:paraId="0826DC7B" w14:textId="4859AC9A" w:rsidR="005A5281" w:rsidRDefault="00D92B01" w:rsidP="007E2FC8">
      <w:pPr>
        <w:rPr>
          <w:szCs w:val="22"/>
        </w:rPr>
      </w:pPr>
      <w:r w:rsidRPr="00D92B01">
        <w:rPr>
          <w:szCs w:val="22"/>
        </w:rPr>
        <w:t xml:space="preserve">Regarding the length of the transaction ID, it needs to be long enough to ensure that different transaction IDs are assigned between </w:t>
      </w:r>
      <w:r>
        <w:rPr>
          <w:rFonts w:hint="eastAsia"/>
          <w:szCs w:val="22"/>
        </w:rPr>
        <w:t>neighboring</w:t>
      </w:r>
      <w:r w:rsidRPr="00D92B01">
        <w:rPr>
          <w:szCs w:val="22"/>
        </w:rPr>
        <w:t xml:space="preserve"> readers. In Rel-19, this can be achieved with approximately 3 to 4 bits. However, what we want to point out is that if the paging message specified in Rel-19 is used in future releases, we must also consider scenarios where intermediate UEs become readers.</w:t>
      </w:r>
    </w:p>
    <w:p w14:paraId="4E7CD6A7" w14:textId="5884D765" w:rsidR="005A5281" w:rsidRDefault="00D92B01" w:rsidP="007E2FC8">
      <w:pPr>
        <w:rPr>
          <w:szCs w:val="22"/>
        </w:rPr>
      </w:pPr>
      <w:r w:rsidRPr="00D92B01">
        <w:rPr>
          <w:szCs w:val="22"/>
        </w:rPr>
        <w:t>Intermediate UEs can move freely within the coverage of a cell. Therefore, practically speaking, the transaction ID assigned to an intermediate UE reader</w:t>
      </w:r>
      <w:r>
        <w:rPr>
          <w:rFonts w:hint="eastAsia"/>
          <w:szCs w:val="22"/>
        </w:rPr>
        <w:t>s</w:t>
      </w:r>
      <w:r w:rsidRPr="00D92B01">
        <w:rPr>
          <w:szCs w:val="22"/>
        </w:rPr>
        <w:t xml:space="preserve"> should be different from the transaction IDs of all readers within the coverage of the cell to which the UE is connected (and if the cell to which the UE is connected is a reader, its transaction ID as well). To achieve this, a </w:t>
      </w:r>
      <w:r w:rsidR="00634B6A" w:rsidRPr="00D92B01">
        <w:rPr>
          <w:szCs w:val="22"/>
        </w:rPr>
        <w:t>3–4-bit</w:t>
      </w:r>
      <w:r w:rsidRPr="00D92B01">
        <w:rPr>
          <w:szCs w:val="22"/>
        </w:rPr>
        <w:t xml:space="preserve"> transaction ID is insufficient, and a longer transaction ID, such as 8 bits, is necessary.</w:t>
      </w:r>
    </w:p>
    <w:p w14:paraId="1C55B286" w14:textId="29FF535C" w:rsidR="00D92B01" w:rsidRDefault="00D92B01" w:rsidP="00D92B01">
      <w:pPr>
        <w:pStyle w:val="ObservationandProposal"/>
      </w:pPr>
      <w:r>
        <w:rPr>
          <w:rFonts w:hint="eastAsia"/>
        </w:rPr>
        <w:t xml:space="preserve">Proposal </w:t>
      </w:r>
      <w:r w:rsidR="00362CFA">
        <w:rPr>
          <w:rFonts w:hint="eastAsia"/>
        </w:rPr>
        <w:t>4</w:t>
      </w:r>
      <w:r>
        <w:rPr>
          <w:rFonts w:hint="eastAsia"/>
        </w:rPr>
        <w:t>.</w:t>
      </w:r>
      <w:r>
        <w:tab/>
      </w:r>
      <w:r>
        <w:rPr>
          <w:rFonts w:hint="eastAsia"/>
        </w:rPr>
        <w:t xml:space="preserve">(Issue 1-2) The size of transaction ID is </w:t>
      </w:r>
      <w:r w:rsidR="006B3DB8">
        <w:rPr>
          <w:rFonts w:hint="eastAsia"/>
        </w:rPr>
        <w:t xml:space="preserve">at least </w:t>
      </w:r>
      <w:r>
        <w:rPr>
          <w:rFonts w:hint="eastAsia"/>
        </w:rPr>
        <w:t>8 bits.</w:t>
      </w:r>
    </w:p>
    <w:p w14:paraId="263E701E" w14:textId="77777777" w:rsidR="00D92B01" w:rsidRPr="00D92B01" w:rsidRDefault="00D92B01" w:rsidP="007E2FC8">
      <w:pPr>
        <w:rPr>
          <w:szCs w:val="22"/>
        </w:rPr>
      </w:pPr>
    </w:p>
    <w:p w14:paraId="6649D4FA" w14:textId="1CEA2157" w:rsidR="008B5445" w:rsidRDefault="008B5445" w:rsidP="008B5445">
      <w:pPr>
        <w:pStyle w:val="2"/>
        <w:ind w:left="992" w:firstLine="0"/>
        <w:rPr>
          <w:rFonts w:cs="Arial"/>
        </w:rPr>
      </w:pPr>
      <w:r>
        <w:rPr>
          <w:rFonts w:cs="Arial" w:hint="eastAsia"/>
        </w:rPr>
        <w:t>Issue 1-3: Paging ID length field</w:t>
      </w:r>
    </w:p>
    <w:tbl>
      <w:tblPr>
        <w:tblStyle w:val="aa"/>
        <w:tblW w:w="9757" w:type="dxa"/>
        <w:tblLayout w:type="fixed"/>
        <w:tblLook w:val="04A0" w:firstRow="1" w:lastRow="0" w:firstColumn="1" w:lastColumn="0" w:noHBand="0" w:noVBand="1"/>
      </w:tblPr>
      <w:tblGrid>
        <w:gridCol w:w="1413"/>
        <w:gridCol w:w="6843"/>
        <w:gridCol w:w="1501"/>
      </w:tblGrid>
      <w:tr w:rsidR="00605717" w14:paraId="5C144E81" w14:textId="77777777" w:rsidTr="00605717">
        <w:trPr>
          <w:trHeight w:val="490"/>
        </w:trPr>
        <w:tc>
          <w:tcPr>
            <w:tcW w:w="1413" w:type="dxa"/>
          </w:tcPr>
          <w:p w14:paraId="094E4BE8"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BC2B5DC"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17C783B4"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14:paraId="425BCDD1" w14:textId="77777777" w:rsidTr="00605717">
        <w:tc>
          <w:tcPr>
            <w:tcW w:w="1413" w:type="dxa"/>
          </w:tcPr>
          <w:p w14:paraId="443D5A48"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lastRenderedPageBreak/>
              <w:t>Issue 1-3:</w:t>
            </w:r>
          </w:p>
          <w:p w14:paraId="00BD5F84"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Paging ID length field</w:t>
            </w:r>
          </w:p>
        </w:tc>
        <w:tc>
          <w:tcPr>
            <w:tcW w:w="6843" w:type="dxa"/>
          </w:tcPr>
          <w:p w14:paraId="7C05F8E1"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The field to indicate the paging ID length, e.g. value range, how many bits, format design</w:t>
            </w:r>
          </w:p>
          <w:p w14:paraId="0C29DD35"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Relevant agreements: </w:t>
            </w:r>
          </w:p>
          <w:p w14:paraId="3D17F6DF"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A field indicating Paging ID length information is always included together with the paging ID field in the A-IoT paging message, except the case where no ID is included in the A-IoT paging message.   </w:t>
            </w:r>
          </w:p>
          <w:p w14:paraId="5B66A0D4"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The number of bits required for paging ID length field should be as small as possible.  This would require the number of different Paging ID lengths to be small.</w:t>
            </w:r>
          </w:p>
          <w:p w14:paraId="0B34BA5D"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RAN2 sent LS to CT4 and SA2 in R2-2503197 asking for their feedback on the above agreement, for RAN2 to determine the field for paging ID length. </w:t>
            </w:r>
          </w:p>
          <w:p w14:paraId="00DE30FF"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Note: SA2 already agreed the filtering information and captured it in clause 5.8 in 23.369, this may enable some extent of RAN2 discussion before their feedback.</w:t>
            </w:r>
          </w:p>
          <w:p w14:paraId="670A4462" w14:textId="77777777" w:rsidR="00605717" w:rsidRPr="00605717" w:rsidRDefault="00605717" w:rsidP="00DB7F19">
            <w:pPr>
              <w:pStyle w:val="ab"/>
              <w:numPr>
                <w:ilvl w:val="0"/>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Status in running CR: the field name is captured in 6.2.1.1 without the detailed format.</w:t>
            </w:r>
          </w:p>
        </w:tc>
        <w:tc>
          <w:tcPr>
            <w:tcW w:w="1501" w:type="dxa"/>
          </w:tcPr>
          <w:p w14:paraId="0FEE41B7"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To be discussed by company contributions</w:t>
            </w:r>
          </w:p>
        </w:tc>
      </w:tr>
    </w:tbl>
    <w:p w14:paraId="6E419DA6" w14:textId="4F43345D" w:rsidR="008B5445" w:rsidRDefault="00426A8F" w:rsidP="007E2FC8">
      <w:pPr>
        <w:rPr>
          <w:szCs w:val="22"/>
        </w:rPr>
      </w:pPr>
      <w:r>
        <w:rPr>
          <w:rFonts w:hint="eastAsia"/>
          <w:szCs w:val="22"/>
        </w:rPr>
        <w:t xml:space="preserve">RAN2 should wait for a reply from </w:t>
      </w:r>
      <w:r w:rsidR="00AE29CC">
        <w:rPr>
          <w:rFonts w:hint="eastAsia"/>
          <w:szCs w:val="22"/>
        </w:rPr>
        <w:t xml:space="preserve">CT4 and </w:t>
      </w:r>
      <w:r>
        <w:rPr>
          <w:rFonts w:hint="eastAsia"/>
          <w:szCs w:val="22"/>
        </w:rPr>
        <w:t>SA2 on length of Paging ID.</w:t>
      </w:r>
    </w:p>
    <w:p w14:paraId="5DCAA1C3" w14:textId="77777777" w:rsidR="00426A8F" w:rsidRDefault="00426A8F" w:rsidP="007E2FC8">
      <w:pPr>
        <w:rPr>
          <w:szCs w:val="22"/>
        </w:rPr>
      </w:pPr>
    </w:p>
    <w:p w14:paraId="3ADC868F" w14:textId="331E5DAB" w:rsidR="008B5445" w:rsidRDefault="008B5445" w:rsidP="008B5445">
      <w:pPr>
        <w:pStyle w:val="2"/>
        <w:ind w:left="992" w:firstLine="0"/>
        <w:rPr>
          <w:rFonts w:cs="Arial"/>
        </w:rPr>
      </w:pPr>
      <w:r>
        <w:rPr>
          <w:rFonts w:cs="Arial" w:hint="eastAsia"/>
        </w:rPr>
        <w:t>Issue 1-4: AO number field</w:t>
      </w:r>
    </w:p>
    <w:tbl>
      <w:tblPr>
        <w:tblStyle w:val="aa"/>
        <w:tblW w:w="9757" w:type="dxa"/>
        <w:tblLayout w:type="fixed"/>
        <w:tblLook w:val="04A0" w:firstRow="1" w:lastRow="0" w:firstColumn="1" w:lastColumn="0" w:noHBand="0" w:noVBand="1"/>
      </w:tblPr>
      <w:tblGrid>
        <w:gridCol w:w="1413"/>
        <w:gridCol w:w="6843"/>
        <w:gridCol w:w="1501"/>
      </w:tblGrid>
      <w:tr w:rsidR="00605717" w14:paraId="5C257F56" w14:textId="77777777" w:rsidTr="00605717">
        <w:trPr>
          <w:trHeight w:val="490"/>
        </w:trPr>
        <w:tc>
          <w:tcPr>
            <w:tcW w:w="1413" w:type="dxa"/>
          </w:tcPr>
          <w:p w14:paraId="12149AF6"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3B8978A7"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3E67BBB"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rsidRPr="00926FD3" w14:paraId="70F72DC2" w14:textId="77777777" w:rsidTr="00605717">
        <w:tc>
          <w:tcPr>
            <w:tcW w:w="1413" w:type="dxa"/>
          </w:tcPr>
          <w:p w14:paraId="450E715C"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1-4: AO number field</w:t>
            </w:r>
          </w:p>
        </w:tc>
        <w:tc>
          <w:tcPr>
            <w:tcW w:w="6843" w:type="dxa"/>
          </w:tcPr>
          <w:p w14:paraId="561FBFB2"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How to indicate the number of access occasions, e.g. the maximum number, the length of field, format design.</w:t>
            </w:r>
          </w:p>
          <w:p w14:paraId="1B09F160"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Relevant agreements: </w:t>
            </w:r>
          </w:p>
          <w:p w14:paraId="677D9DF4"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the A-IoT paging message can include a number of msg1 resources</w:t>
            </w:r>
          </w:p>
          <w:p w14:paraId="59218EAD" w14:textId="77777777" w:rsidR="00605717" w:rsidRPr="00605717" w:rsidRDefault="00605717" w:rsidP="00DB7F19">
            <w:pPr>
              <w:pStyle w:val="ab"/>
              <w:numPr>
                <w:ilvl w:val="0"/>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Status in running CR: the field name is captured in 6.2.1.1 without the detailed format.</w:t>
            </w:r>
          </w:p>
        </w:tc>
        <w:tc>
          <w:tcPr>
            <w:tcW w:w="1501" w:type="dxa"/>
          </w:tcPr>
          <w:p w14:paraId="776B7868" w14:textId="77777777" w:rsidR="00605717" w:rsidRPr="00605717" w:rsidRDefault="00605717" w:rsidP="00DB7F19">
            <w:pPr>
              <w:rPr>
                <w:rFonts w:ascii="Times New Roman" w:hAnsi="Times New Roman" w:cs="Times New Roman"/>
                <w:b/>
                <w:bCs/>
                <w:sz w:val="20"/>
                <w:szCs w:val="20"/>
              </w:rPr>
            </w:pPr>
            <w:r w:rsidRPr="00605717">
              <w:rPr>
                <w:rFonts w:ascii="Times New Roman" w:hAnsi="Times New Roman" w:cs="Times New Roman"/>
                <w:sz w:val="20"/>
                <w:szCs w:val="20"/>
              </w:rPr>
              <w:t>To be discussed by company contributions</w:t>
            </w:r>
          </w:p>
        </w:tc>
      </w:tr>
    </w:tbl>
    <w:p w14:paraId="4EB483E5" w14:textId="16BEBF11" w:rsidR="008B5445" w:rsidRDefault="006B3DB8" w:rsidP="007E2FC8">
      <w:pPr>
        <w:rPr>
          <w:szCs w:val="22"/>
        </w:rPr>
      </w:pPr>
      <w:r w:rsidRPr="006B3DB8">
        <w:rPr>
          <w:szCs w:val="22"/>
        </w:rPr>
        <w:t>The number of access occasions, that is, the transmission resources for Msg1, should be sufficient to ensure that the probability of collision is sufficiently low when a large number of devices simultaneously attempt random access. Regarding the implementation scenario of D1T1-B assumed in Rel-19 Ambient IoT, it is considered that up to several thousand devices may simultaneously attempt random access to a single reader. Therefore, the number of access occasions should be more than 10,000, meaning that the length of the field notifying the number of access occasions should be at least 14 bits.</w:t>
      </w:r>
    </w:p>
    <w:p w14:paraId="5DF0664D" w14:textId="4D22D01E" w:rsidR="006B3DB8" w:rsidRPr="006B3DB8" w:rsidRDefault="006B3DB8" w:rsidP="006B3DB8">
      <w:pPr>
        <w:pStyle w:val="ObservationandProposal"/>
      </w:pPr>
      <w:r>
        <w:rPr>
          <w:rFonts w:hint="eastAsia"/>
        </w:rPr>
        <w:t xml:space="preserve">Proposal </w:t>
      </w:r>
      <w:r w:rsidR="00362CFA">
        <w:rPr>
          <w:rFonts w:hint="eastAsia"/>
        </w:rPr>
        <w:t>5</w:t>
      </w:r>
      <w:r>
        <w:rPr>
          <w:rFonts w:hint="eastAsia"/>
        </w:rPr>
        <w:t>.</w:t>
      </w:r>
      <w:r>
        <w:tab/>
      </w:r>
      <w:r>
        <w:rPr>
          <w:rFonts w:hint="eastAsia"/>
        </w:rPr>
        <w:t>(Issue 1-</w:t>
      </w:r>
      <w:r w:rsidR="00955DDA">
        <w:rPr>
          <w:rFonts w:hint="eastAsia"/>
        </w:rPr>
        <w:t>4</w:t>
      </w:r>
      <w:r>
        <w:rPr>
          <w:rFonts w:hint="eastAsia"/>
        </w:rPr>
        <w:t>) The field size of access occasion number is at least 14 bits.</w:t>
      </w:r>
    </w:p>
    <w:p w14:paraId="68CDC9F9" w14:textId="77777777" w:rsidR="006B3DB8" w:rsidRPr="006B3DB8" w:rsidRDefault="006B3DB8" w:rsidP="007E2FC8">
      <w:pPr>
        <w:rPr>
          <w:szCs w:val="22"/>
        </w:rPr>
      </w:pPr>
    </w:p>
    <w:p w14:paraId="50EE6F08" w14:textId="4DF0C3D9" w:rsidR="008B5445" w:rsidRDefault="008B5445" w:rsidP="008B5445">
      <w:pPr>
        <w:pStyle w:val="2"/>
        <w:ind w:left="992" w:firstLine="0"/>
        <w:rPr>
          <w:rFonts w:cs="Arial"/>
        </w:rPr>
      </w:pPr>
      <w:r>
        <w:rPr>
          <w:rFonts w:cs="Arial" w:hint="eastAsia"/>
        </w:rPr>
        <w:t xml:space="preserve">Issue 1-5: </w:t>
      </w:r>
      <w:r w:rsidRPr="008B5445">
        <w:rPr>
          <w:rFonts w:cs="Arial"/>
        </w:rPr>
        <w:t>Paging content for CFRA</w:t>
      </w:r>
    </w:p>
    <w:tbl>
      <w:tblPr>
        <w:tblStyle w:val="aa"/>
        <w:tblW w:w="9757" w:type="dxa"/>
        <w:tblLayout w:type="fixed"/>
        <w:tblLook w:val="04A0" w:firstRow="1" w:lastRow="0" w:firstColumn="1" w:lastColumn="0" w:noHBand="0" w:noVBand="1"/>
      </w:tblPr>
      <w:tblGrid>
        <w:gridCol w:w="1413"/>
        <w:gridCol w:w="6843"/>
        <w:gridCol w:w="1501"/>
      </w:tblGrid>
      <w:tr w:rsidR="00605717" w14:paraId="6DC23A55" w14:textId="77777777" w:rsidTr="00605717">
        <w:trPr>
          <w:trHeight w:val="490"/>
        </w:trPr>
        <w:tc>
          <w:tcPr>
            <w:tcW w:w="1413" w:type="dxa"/>
          </w:tcPr>
          <w:p w14:paraId="2592EE3F"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0CA9EDD"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483D2BB3"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14:paraId="217DCF66" w14:textId="77777777" w:rsidTr="00605717">
        <w:tc>
          <w:tcPr>
            <w:tcW w:w="1413" w:type="dxa"/>
          </w:tcPr>
          <w:p w14:paraId="52350708"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1-5:</w:t>
            </w:r>
          </w:p>
          <w:p w14:paraId="575B8CE1"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Paging content for CFRA</w:t>
            </w:r>
          </w:p>
        </w:tc>
        <w:tc>
          <w:tcPr>
            <w:tcW w:w="6843" w:type="dxa"/>
          </w:tcPr>
          <w:p w14:paraId="6E387ECF"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Whether paging in CFRA can omit the CBRA related fields, such as transaction ID, Indication of Paging ID present/absence, Number of access occasions in Paging message.</w:t>
            </w:r>
          </w:p>
          <w:p w14:paraId="0865BAB2"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In last meeting, there was a discussion whether transaction ID is needed for CFRA in Paging message. Then during the CR drafting, the Rapp identifies other fields like no paging ID indication, number of access occasions are not useful for CFRA. Since RAN2 also agreed to introduce an explicit indication </w:t>
            </w:r>
            <w:r w:rsidRPr="00605717">
              <w:rPr>
                <w:rFonts w:ascii="Times New Roman" w:hAnsi="Times New Roman" w:cs="Times New Roman"/>
                <w:i/>
                <w:iCs/>
                <w:color w:val="5B9BD5" w:themeColor="accent1"/>
                <w:sz w:val="20"/>
                <w:szCs w:val="20"/>
                <w:lang w:eastAsia="sv-SE"/>
              </w:rPr>
              <w:lastRenderedPageBreak/>
              <w:t>to indicate CFRA and CBRA, it should be feasible to have different fields in the paging message for CFRA and CBRA. Thus, this can be discussed further.</w:t>
            </w:r>
          </w:p>
          <w:p w14:paraId="41B7FCEE" w14:textId="77777777" w:rsidR="00605717" w:rsidRPr="00605717" w:rsidRDefault="00605717" w:rsidP="00DB7F19">
            <w:pPr>
              <w:pStyle w:val="ab"/>
              <w:numPr>
                <w:ilvl w:val="0"/>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Status in running CR: captured as Editor’s Note in 6.2.1.1.</w:t>
            </w:r>
          </w:p>
        </w:tc>
        <w:tc>
          <w:tcPr>
            <w:tcW w:w="1501" w:type="dxa"/>
          </w:tcPr>
          <w:p w14:paraId="4A6F0E20"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lastRenderedPageBreak/>
              <w:t>To be discussed by company contributions</w:t>
            </w:r>
          </w:p>
        </w:tc>
      </w:tr>
    </w:tbl>
    <w:p w14:paraId="57EDB865" w14:textId="77777777" w:rsidR="00362CFA" w:rsidRPr="00362CFA" w:rsidRDefault="00362CFA" w:rsidP="00362CFA">
      <w:pPr>
        <w:rPr>
          <w:szCs w:val="22"/>
        </w:rPr>
      </w:pPr>
      <w:r w:rsidRPr="00362CFA">
        <w:rPr>
          <w:szCs w:val="22"/>
        </w:rPr>
        <w:t>Among the fields captured in the current TS 38.391 running CR:</w:t>
      </w:r>
    </w:p>
    <w:p w14:paraId="55C7DC06" w14:textId="77777777" w:rsidR="00362CFA" w:rsidRPr="00362CFA" w:rsidRDefault="00362CFA" w:rsidP="00362CFA">
      <w:pPr>
        <w:numPr>
          <w:ilvl w:val="0"/>
          <w:numId w:val="6"/>
        </w:numPr>
        <w:rPr>
          <w:szCs w:val="22"/>
        </w:rPr>
      </w:pPr>
      <w:r w:rsidRPr="00362CFA">
        <w:rPr>
          <w:b/>
          <w:bCs/>
          <w:szCs w:val="22"/>
        </w:rPr>
        <w:t>Indication of Paging ID presence</w:t>
      </w:r>
      <w:r w:rsidRPr="00362CFA">
        <w:rPr>
          <w:szCs w:val="22"/>
        </w:rPr>
        <w:t>: CFRA always indicates the Paging ID, so this field is unnecessary.</w:t>
      </w:r>
    </w:p>
    <w:p w14:paraId="6F50AA25" w14:textId="77777777" w:rsidR="00362CFA" w:rsidRPr="00362CFA" w:rsidRDefault="00362CFA" w:rsidP="00362CFA">
      <w:pPr>
        <w:numPr>
          <w:ilvl w:val="0"/>
          <w:numId w:val="6"/>
        </w:numPr>
        <w:rPr>
          <w:szCs w:val="22"/>
        </w:rPr>
      </w:pPr>
      <w:r w:rsidRPr="00362CFA">
        <w:rPr>
          <w:b/>
          <w:bCs/>
          <w:szCs w:val="22"/>
        </w:rPr>
        <w:t>Transaction ID</w:t>
      </w:r>
      <w:r w:rsidRPr="00362CFA">
        <w:rPr>
          <w:szCs w:val="22"/>
        </w:rPr>
        <w:t>: CFRA does not use group IDs and does not assume multiple target devices. Therefore, there is no use case for resending paging to a device that has successfully completed the procedure once CFRA is performed. Hence, the Transaction ID is unnecessary.</w:t>
      </w:r>
    </w:p>
    <w:p w14:paraId="049C30BA" w14:textId="77777777" w:rsidR="00362CFA" w:rsidRPr="00362CFA" w:rsidRDefault="00362CFA" w:rsidP="00362CFA">
      <w:pPr>
        <w:numPr>
          <w:ilvl w:val="0"/>
          <w:numId w:val="6"/>
        </w:numPr>
        <w:rPr>
          <w:szCs w:val="22"/>
        </w:rPr>
      </w:pPr>
      <w:r w:rsidRPr="00362CFA">
        <w:rPr>
          <w:b/>
          <w:bCs/>
          <w:szCs w:val="22"/>
        </w:rPr>
        <w:t>Number of Access Occasions</w:t>
      </w:r>
      <w:r w:rsidRPr="00362CFA">
        <w:rPr>
          <w:szCs w:val="22"/>
        </w:rPr>
        <w:t>: It is clear that this is the same as the number of target devices, so this field is unnecessary.</w:t>
      </w:r>
    </w:p>
    <w:p w14:paraId="6AC8F7EF" w14:textId="3177251E" w:rsidR="008B5445" w:rsidRDefault="00362CFA" w:rsidP="00362CFA">
      <w:pPr>
        <w:pStyle w:val="ObservationandProposal"/>
      </w:pPr>
      <w:r>
        <w:rPr>
          <w:rFonts w:hint="eastAsia"/>
        </w:rPr>
        <w:t>Proposal 6.</w:t>
      </w:r>
      <w:r>
        <w:tab/>
      </w:r>
      <w:r>
        <w:rPr>
          <w:rFonts w:hint="eastAsia"/>
        </w:rPr>
        <w:t xml:space="preserve">(Issue 1-5) </w:t>
      </w:r>
      <w:r w:rsidR="00B74009">
        <w:rPr>
          <w:rFonts w:hint="eastAsia"/>
        </w:rPr>
        <w:t>For CFRA, p</w:t>
      </w:r>
      <w:r>
        <w:rPr>
          <w:rFonts w:hint="eastAsia"/>
        </w:rPr>
        <w:t xml:space="preserve">aging R2D message does not have fields for </w:t>
      </w:r>
      <w:r w:rsidRPr="00362CFA">
        <w:t>Indication of Paging ID presence</w:t>
      </w:r>
      <w:r>
        <w:rPr>
          <w:rFonts w:hint="eastAsia"/>
        </w:rPr>
        <w:t xml:space="preserve">, </w:t>
      </w:r>
      <w:r w:rsidRPr="00362CFA">
        <w:t>Transaction ID</w:t>
      </w:r>
      <w:r>
        <w:rPr>
          <w:rFonts w:hint="eastAsia"/>
        </w:rPr>
        <w:t xml:space="preserve"> nor </w:t>
      </w:r>
      <w:r w:rsidRPr="00362CFA">
        <w:t>Number of Access Occasions</w:t>
      </w:r>
      <w:r>
        <w:rPr>
          <w:rFonts w:hint="eastAsia"/>
        </w:rPr>
        <w:t>.</w:t>
      </w:r>
    </w:p>
    <w:p w14:paraId="27B147B7" w14:textId="77777777" w:rsidR="00362CFA" w:rsidRPr="00362CFA" w:rsidRDefault="00362CFA" w:rsidP="007E2FC8">
      <w:pPr>
        <w:rPr>
          <w:szCs w:val="22"/>
        </w:rPr>
      </w:pPr>
    </w:p>
    <w:p w14:paraId="1010197C" w14:textId="4791136C" w:rsidR="008B5445" w:rsidRDefault="008B5445" w:rsidP="008B5445">
      <w:pPr>
        <w:pStyle w:val="2"/>
        <w:ind w:left="992" w:firstLine="0"/>
        <w:rPr>
          <w:rFonts w:cs="Arial"/>
        </w:rPr>
      </w:pPr>
      <w:r>
        <w:rPr>
          <w:rFonts w:cs="Arial" w:hint="eastAsia"/>
        </w:rPr>
        <w:t xml:space="preserve">Issue 1-6: </w:t>
      </w:r>
      <w:r w:rsidRPr="008B5445">
        <w:rPr>
          <w:rFonts w:cs="Arial"/>
        </w:rPr>
        <w:t xml:space="preserve">Paging </w:t>
      </w:r>
      <w:r>
        <w:rPr>
          <w:rFonts w:cs="Arial" w:hint="eastAsia"/>
        </w:rPr>
        <w:t>ID visibility</w:t>
      </w:r>
    </w:p>
    <w:tbl>
      <w:tblPr>
        <w:tblStyle w:val="aa"/>
        <w:tblW w:w="9757" w:type="dxa"/>
        <w:tblLayout w:type="fixed"/>
        <w:tblLook w:val="04A0" w:firstRow="1" w:lastRow="0" w:firstColumn="1" w:lastColumn="0" w:noHBand="0" w:noVBand="1"/>
      </w:tblPr>
      <w:tblGrid>
        <w:gridCol w:w="1413"/>
        <w:gridCol w:w="6843"/>
        <w:gridCol w:w="1501"/>
      </w:tblGrid>
      <w:tr w:rsidR="00605717" w14:paraId="1435B499" w14:textId="77777777" w:rsidTr="00605717">
        <w:trPr>
          <w:trHeight w:val="490"/>
        </w:trPr>
        <w:tc>
          <w:tcPr>
            <w:tcW w:w="1413" w:type="dxa"/>
          </w:tcPr>
          <w:p w14:paraId="4F44B395"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9AA39C4" w14:textId="77777777" w:rsidR="00605717" w:rsidRPr="00605717" w:rsidRDefault="00605717"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3276D77D"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605717" w14:paraId="6CC6C494" w14:textId="77777777" w:rsidTr="00605717">
        <w:tc>
          <w:tcPr>
            <w:tcW w:w="1413" w:type="dxa"/>
          </w:tcPr>
          <w:p w14:paraId="2E3F1428"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Issue 1-6:</w:t>
            </w:r>
          </w:p>
          <w:p w14:paraId="44F511E1"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Paging ID visibility</w:t>
            </w:r>
          </w:p>
        </w:tc>
        <w:tc>
          <w:tcPr>
            <w:tcW w:w="6843" w:type="dxa"/>
          </w:tcPr>
          <w:p w14:paraId="08BBCC4B"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Whether Paging ID is invisible or visible to MAC.</w:t>
            </w:r>
          </w:p>
          <w:p w14:paraId="27990DC6" w14:textId="77777777" w:rsidR="00605717" w:rsidRPr="00605717" w:rsidRDefault="00605717"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 xml:space="preserve">Relevant agreements: </w:t>
            </w:r>
          </w:p>
          <w:p w14:paraId="35B22512" w14:textId="77777777" w:rsidR="00605717" w:rsidRPr="00605717" w:rsidRDefault="00605717" w:rsidP="00605717">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605717">
              <w:rPr>
                <w:rFonts w:ascii="Times New Roman" w:hAnsi="Times New Roman" w:cs="Times New Roman"/>
                <w:i/>
                <w:iCs/>
                <w:color w:val="5B9BD5" w:themeColor="accent1"/>
                <w:sz w:val="20"/>
                <w:szCs w:val="20"/>
                <w:lang w:eastAsia="sv-SE"/>
              </w:rPr>
              <w:t>The current assumption is that the paging identifier is transparent to the A-IoT MAC Layer and carried by upper layer.   FFS if there is really a need for visibility in the MAC layer.</w:t>
            </w:r>
          </w:p>
          <w:p w14:paraId="0E44E99A" w14:textId="77777777" w:rsidR="00605717" w:rsidRPr="00605717" w:rsidRDefault="00605717" w:rsidP="00DB7F19">
            <w:pPr>
              <w:pStyle w:val="ab"/>
              <w:numPr>
                <w:ilvl w:val="0"/>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From the previous discussion, there are some motivations to make paging ID visible to MAC:</w:t>
            </w:r>
          </w:p>
          <w:p w14:paraId="04C2660E" w14:textId="77777777" w:rsidR="00605717" w:rsidRPr="00605717" w:rsidRDefault="00605717" w:rsidP="00DB7F19">
            <w:pPr>
              <w:pStyle w:val="ab"/>
              <w:numPr>
                <w:ilvl w:val="1"/>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1. Reader can operate on the paging ID for further sub-grouping. The Rapp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 lady, such enhancement can be considered with lower priority.</w:t>
            </w:r>
          </w:p>
          <w:p w14:paraId="30D1E7E6" w14:textId="77777777" w:rsidR="00605717" w:rsidRPr="00605717" w:rsidRDefault="00605717" w:rsidP="00DB7F19">
            <w:pPr>
              <w:pStyle w:val="ab"/>
              <w:numPr>
                <w:ilvl w:val="1"/>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2. Reader can associate the paging ID/device ID and AS ID for a given device within a service request. The Rapp understands according to RAN3 LS</w:t>
            </w:r>
            <w:r w:rsidRPr="00605717">
              <w:rPr>
                <w:rFonts w:ascii="Times New Roman" w:hAnsi="Times New Roman" w:cs="Times New Roman"/>
                <w:sz w:val="20"/>
                <w:szCs w:val="20"/>
              </w:rPr>
              <w:t xml:space="preserve"> </w:t>
            </w:r>
            <w:r w:rsidRPr="00605717">
              <w:rPr>
                <w:rFonts w:ascii="Times New Roman" w:hAnsi="Times New Roman" w:cs="Times New Roman"/>
                <w:i/>
                <w:iCs/>
                <w:color w:val="5B9BD5" w:themeColor="accent1"/>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14:paraId="7FBA40F6" w14:textId="77777777" w:rsidR="00605717" w:rsidRPr="00605717" w:rsidRDefault="00605717" w:rsidP="00DB7F19">
            <w:pPr>
              <w:pStyle w:val="ab"/>
              <w:numPr>
                <w:ilvl w:val="1"/>
                <w:numId w:val="4"/>
              </w:numPr>
              <w:tabs>
                <w:tab w:val="left" w:pos="992"/>
              </w:tabs>
              <w:rPr>
                <w:rFonts w:ascii="Times New Roman" w:hAnsi="Times New Roman" w:cs="Times New Roman"/>
                <w:sz w:val="20"/>
                <w:szCs w:val="20"/>
              </w:rPr>
            </w:pPr>
            <w:r w:rsidRPr="00605717">
              <w:rPr>
                <w:rFonts w:ascii="Times New Roman" w:hAnsi="Times New Roman" w:cs="Times New Roman"/>
                <w:i/>
                <w:iCs/>
                <w:color w:val="5B9BD5" w:themeColor="accent1"/>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c>
          <w:tcPr>
            <w:tcW w:w="1501" w:type="dxa"/>
          </w:tcPr>
          <w:p w14:paraId="275B187A" w14:textId="77777777" w:rsidR="00605717" w:rsidRPr="00605717" w:rsidRDefault="00605717" w:rsidP="00DB7F19">
            <w:pPr>
              <w:rPr>
                <w:rFonts w:ascii="Times New Roman" w:hAnsi="Times New Roman" w:cs="Times New Roman"/>
                <w:sz w:val="20"/>
                <w:szCs w:val="20"/>
              </w:rPr>
            </w:pPr>
            <w:r w:rsidRPr="00605717">
              <w:rPr>
                <w:rFonts w:ascii="Times New Roman" w:hAnsi="Times New Roman" w:cs="Times New Roman"/>
                <w:sz w:val="20"/>
                <w:szCs w:val="20"/>
              </w:rPr>
              <w:t>Not critical</w:t>
            </w:r>
          </w:p>
        </w:tc>
      </w:tr>
    </w:tbl>
    <w:p w14:paraId="7BB2A926" w14:textId="6DE8668E" w:rsidR="008B5445" w:rsidRDefault="00362CFA" w:rsidP="007E2FC8">
      <w:pPr>
        <w:rPr>
          <w:szCs w:val="22"/>
        </w:rPr>
      </w:pPr>
      <w:r>
        <w:rPr>
          <w:rFonts w:hint="eastAsia"/>
          <w:szCs w:val="22"/>
        </w:rPr>
        <w:t>We do not really have strong preference on this issue.</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lastRenderedPageBreak/>
        <w:t>Summary and proposal</w:t>
      </w:r>
    </w:p>
    <w:p w14:paraId="5D8F8EF5" w14:textId="77777777" w:rsidR="00362CFA" w:rsidRDefault="00362CFA" w:rsidP="00362CFA">
      <w:pPr>
        <w:pStyle w:val="ObservationandProposal"/>
      </w:pPr>
      <w:r>
        <w:rPr>
          <w:rFonts w:hint="eastAsia"/>
        </w:rPr>
        <w:t>Proposal 1.</w:t>
      </w:r>
      <w:r>
        <w:tab/>
      </w:r>
      <w:r>
        <w:rPr>
          <w:rFonts w:hint="eastAsia"/>
        </w:rPr>
        <w:t xml:space="preserve">(Issue 1-1) The device </w:t>
      </w:r>
      <w:r w:rsidRPr="00B84F99">
        <w:t>receives the new paging</w:t>
      </w:r>
      <w:r>
        <w:rPr>
          <w:rFonts w:hint="eastAsia"/>
          <w:bCs w:val="0"/>
        </w:rPr>
        <w:t xml:space="preserve"> unless other conditions meet (e.g. that of transaction ID)</w:t>
      </w:r>
      <w:r w:rsidRPr="00B84F99">
        <w:t>.</w:t>
      </w:r>
    </w:p>
    <w:p w14:paraId="0D5D62AE" w14:textId="77777777" w:rsidR="00362CFA" w:rsidRDefault="00362CFA" w:rsidP="00362CFA">
      <w:pPr>
        <w:pStyle w:val="ObservationandProposal"/>
      </w:pPr>
      <w:r>
        <w:rPr>
          <w:rFonts w:hint="eastAsia"/>
        </w:rPr>
        <w:t>Proposal 2.</w:t>
      </w:r>
      <w:r>
        <w:tab/>
      </w:r>
      <w:r>
        <w:rPr>
          <w:rFonts w:hint="eastAsia"/>
        </w:rPr>
        <w:t>(Issue 1-2) Part of correlation ID indicated by AIOTF is reused for transaction ID.</w:t>
      </w:r>
    </w:p>
    <w:p w14:paraId="529F7285" w14:textId="77777777" w:rsidR="00362CFA" w:rsidRPr="005A5281" w:rsidRDefault="00362CFA" w:rsidP="00362CFA">
      <w:pPr>
        <w:pStyle w:val="ObservationandProposal"/>
      </w:pPr>
      <w:r>
        <w:rPr>
          <w:rFonts w:hint="eastAsia"/>
        </w:rPr>
        <w:t>Proposal 3.</w:t>
      </w:r>
      <w:r>
        <w:tab/>
      </w:r>
      <w:r>
        <w:rPr>
          <w:rFonts w:hint="eastAsia"/>
        </w:rPr>
        <w:t>(Issue 1-2) Ask SA2 whether AIOTF can indicate different correlation IDs for different readers for the same paging request.</w:t>
      </w:r>
    </w:p>
    <w:p w14:paraId="781FD909" w14:textId="77777777" w:rsidR="00362CFA" w:rsidRDefault="00362CFA" w:rsidP="00362CFA">
      <w:pPr>
        <w:pStyle w:val="ObservationandProposal"/>
      </w:pPr>
      <w:r>
        <w:rPr>
          <w:rFonts w:hint="eastAsia"/>
        </w:rPr>
        <w:t>Proposal 4.</w:t>
      </w:r>
      <w:r>
        <w:tab/>
      </w:r>
      <w:r>
        <w:rPr>
          <w:rFonts w:hint="eastAsia"/>
        </w:rPr>
        <w:t>(Issue 1-2) The size of transaction ID is at least 8 bits.</w:t>
      </w:r>
    </w:p>
    <w:p w14:paraId="4BE1485B" w14:textId="77777777" w:rsidR="00362CFA" w:rsidRPr="006B3DB8" w:rsidRDefault="00362CFA" w:rsidP="00362CFA">
      <w:pPr>
        <w:pStyle w:val="ObservationandProposal"/>
      </w:pPr>
      <w:r>
        <w:rPr>
          <w:rFonts w:hint="eastAsia"/>
        </w:rPr>
        <w:t>Proposal 5.</w:t>
      </w:r>
      <w:r>
        <w:tab/>
      </w:r>
      <w:r>
        <w:rPr>
          <w:rFonts w:hint="eastAsia"/>
        </w:rPr>
        <w:t>(Issue 1-4) The field size of access occasion number is at least 14 bits.</w:t>
      </w:r>
    </w:p>
    <w:p w14:paraId="013CD1DA" w14:textId="0BC5F801" w:rsidR="00362CFA" w:rsidRDefault="00362CFA" w:rsidP="00362CFA">
      <w:pPr>
        <w:pStyle w:val="ObservationandProposal"/>
      </w:pPr>
      <w:r>
        <w:rPr>
          <w:rFonts w:hint="eastAsia"/>
        </w:rPr>
        <w:t>Proposal 6.</w:t>
      </w:r>
      <w:r>
        <w:tab/>
      </w:r>
      <w:r>
        <w:rPr>
          <w:rFonts w:hint="eastAsia"/>
        </w:rPr>
        <w:t xml:space="preserve">(Issue 1-5) </w:t>
      </w:r>
      <w:r w:rsidR="00B74009">
        <w:rPr>
          <w:rFonts w:hint="eastAsia"/>
        </w:rPr>
        <w:t>For CFRA, p</w:t>
      </w:r>
      <w:r>
        <w:rPr>
          <w:rFonts w:hint="eastAsia"/>
        </w:rPr>
        <w:t xml:space="preserve">aging R2D message does not have fields for </w:t>
      </w:r>
      <w:r w:rsidRPr="00362CFA">
        <w:t>Indication of Paging ID presence</w:t>
      </w:r>
      <w:r>
        <w:rPr>
          <w:rFonts w:hint="eastAsia"/>
        </w:rPr>
        <w:t xml:space="preserve">, </w:t>
      </w:r>
      <w:r w:rsidRPr="00362CFA">
        <w:t>Transaction ID</w:t>
      </w:r>
      <w:r>
        <w:rPr>
          <w:rFonts w:hint="eastAsia"/>
        </w:rPr>
        <w:t xml:space="preserve"> nor </w:t>
      </w:r>
      <w:r w:rsidRPr="00362CFA">
        <w:t>Number of Access Occasions</w:t>
      </w:r>
      <w:r>
        <w:rPr>
          <w:rFonts w:hint="eastAsia"/>
        </w:rPr>
        <w:t>.</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5335F4D9" w:rsidR="007E2FC8" w:rsidRDefault="006418C8" w:rsidP="00452602">
      <w:pPr>
        <w:pStyle w:val="Reference"/>
      </w:pPr>
      <w:r>
        <w:rPr>
          <w:rFonts w:hint="eastAsia"/>
        </w:rPr>
        <w:t>[1]</w:t>
      </w:r>
      <w:r w:rsidR="00452602">
        <w:tab/>
      </w:r>
      <w:r w:rsidR="00C6040F" w:rsidRPr="00C6040F">
        <w:t>[POST129bis][017][AIoT] 38.391 Running CR (Huawei)</w:t>
      </w:r>
      <w:r w:rsidR="00C6040F">
        <w:rPr>
          <w:rFonts w:hint="eastAsia"/>
        </w:rPr>
        <w:t>.</w:t>
      </w: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6B09" w14:textId="77777777" w:rsidR="0093101C" w:rsidRDefault="0093101C" w:rsidP="007E2FC8">
      <w:pPr>
        <w:spacing w:after="0"/>
      </w:pPr>
      <w:r>
        <w:separator/>
      </w:r>
    </w:p>
    <w:p w14:paraId="45382806" w14:textId="77777777" w:rsidR="0093101C" w:rsidRDefault="0093101C"/>
    <w:p w14:paraId="1664580E" w14:textId="77777777" w:rsidR="0093101C" w:rsidRDefault="0093101C" w:rsidP="00273403"/>
  </w:endnote>
  <w:endnote w:type="continuationSeparator" w:id="0">
    <w:p w14:paraId="77544E66" w14:textId="77777777" w:rsidR="0093101C" w:rsidRDefault="0093101C" w:rsidP="007E2FC8">
      <w:pPr>
        <w:spacing w:after="0"/>
      </w:pPr>
      <w:r>
        <w:continuationSeparator/>
      </w:r>
    </w:p>
    <w:p w14:paraId="78509716" w14:textId="77777777" w:rsidR="0093101C" w:rsidRDefault="0093101C"/>
    <w:p w14:paraId="46C126E5" w14:textId="77777777" w:rsidR="0093101C" w:rsidRDefault="0093101C"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A214" w14:textId="77777777" w:rsidR="0093101C" w:rsidRDefault="0093101C" w:rsidP="007E2FC8">
      <w:pPr>
        <w:spacing w:after="0"/>
      </w:pPr>
      <w:r>
        <w:separator/>
      </w:r>
    </w:p>
    <w:p w14:paraId="24F48C98" w14:textId="77777777" w:rsidR="0093101C" w:rsidRDefault="0093101C"/>
    <w:p w14:paraId="54C266F4" w14:textId="77777777" w:rsidR="0093101C" w:rsidRDefault="0093101C" w:rsidP="00273403"/>
  </w:footnote>
  <w:footnote w:type="continuationSeparator" w:id="0">
    <w:p w14:paraId="7EE9CAE7" w14:textId="77777777" w:rsidR="0093101C" w:rsidRDefault="0093101C" w:rsidP="007E2FC8">
      <w:pPr>
        <w:spacing w:after="0"/>
      </w:pPr>
      <w:r>
        <w:continuationSeparator/>
      </w:r>
    </w:p>
    <w:p w14:paraId="6A19F913" w14:textId="77777777" w:rsidR="0093101C" w:rsidRDefault="0093101C"/>
    <w:p w14:paraId="0175432B" w14:textId="77777777" w:rsidR="0093101C" w:rsidRDefault="0093101C"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5779C"/>
    <w:multiLevelType w:val="hybridMultilevel"/>
    <w:tmpl w:val="F438A416"/>
    <w:lvl w:ilvl="0" w:tplc="49FE12AC">
      <w:numFmt w:val="bullet"/>
      <w:lvlText w:val="-"/>
      <w:lvlJc w:val="left"/>
      <w:pPr>
        <w:ind w:left="360" w:hanging="360"/>
      </w:pPr>
      <w:rPr>
        <w:rFonts w:ascii="Times New Roman" w:eastAsia="ＭＳ 明朝"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7F4E2A9F"/>
    <w:multiLevelType w:val="multilevel"/>
    <w:tmpl w:val="81D4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4"/>
  </w:num>
  <w:num w:numId="2" w16cid:durableId="1916432099">
    <w:abstractNumId w:val="2"/>
  </w:num>
  <w:num w:numId="3" w16cid:durableId="961111639">
    <w:abstractNumId w:val="3"/>
  </w:num>
  <w:num w:numId="4" w16cid:durableId="1643464833">
    <w:abstractNumId w:val="1"/>
  </w:num>
  <w:num w:numId="5" w16cid:durableId="736829990">
    <w:abstractNumId w:val="0"/>
  </w:num>
  <w:num w:numId="6" w16cid:durableId="86780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27E52"/>
    <w:rsid w:val="00093CF8"/>
    <w:rsid w:val="000B6616"/>
    <w:rsid w:val="000D6A86"/>
    <w:rsid w:val="001376E5"/>
    <w:rsid w:val="001E0100"/>
    <w:rsid w:val="001E1D1E"/>
    <w:rsid w:val="002164B0"/>
    <w:rsid w:val="00262F8E"/>
    <w:rsid w:val="00273403"/>
    <w:rsid w:val="0028501E"/>
    <w:rsid w:val="002B674A"/>
    <w:rsid w:val="00356D30"/>
    <w:rsid w:val="00362CFA"/>
    <w:rsid w:val="00385B37"/>
    <w:rsid w:val="003965B3"/>
    <w:rsid w:val="003B59FC"/>
    <w:rsid w:val="00426A8F"/>
    <w:rsid w:val="00452602"/>
    <w:rsid w:val="004A3CEE"/>
    <w:rsid w:val="004D1B48"/>
    <w:rsid w:val="004E6B03"/>
    <w:rsid w:val="004F6390"/>
    <w:rsid w:val="00537958"/>
    <w:rsid w:val="005839E2"/>
    <w:rsid w:val="005857F6"/>
    <w:rsid w:val="00592239"/>
    <w:rsid w:val="005A2CF6"/>
    <w:rsid w:val="005A5281"/>
    <w:rsid w:val="005F1EB4"/>
    <w:rsid w:val="005F73C8"/>
    <w:rsid w:val="00605717"/>
    <w:rsid w:val="00634B6A"/>
    <w:rsid w:val="0064067A"/>
    <w:rsid w:val="006418C8"/>
    <w:rsid w:val="00654D47"/>
    <w:rsid w:val="006B3DB8"/>
    <w:rsid w:val="00735D62"/>
    <w:rsid w:val="00793747"/>
    <w:rsid w:val="007E2FC8"/>
    <w:rsid w:val="0083168F"/>
    <w:rsid w:val="00873D81"/>
    <w:rsid w:val="00896DC7"/>
    <w:rsid w:val="008B5445"/>
    <w:rsid w:val="008C2D47"/>
    <w:rsid w:val="008E5A66"/>
    <w:rsid w:val="008E5FCD"/>
    <w:rsid w:val="0090533F"/>
    <w:rsid w:val="0092515C"/>
    <w:rsid w:val="0093101C"/>
    <w:rsid w:val="00955DDA"/>
    <w:rsid w:val="00990E79"/>
    <w:rsid w:val="009D51E7"/>
    <w:rsid w:val="00A32033"/>
    <w:rsid w:val="00AB422A"/>
    <w:rsid w:val="00AE29CC"/>
    <w:rsid w:val="00AE37F9"/>
    <w:rsid w:val="00B166C4"/>
    <w:rsid w:val="00B22E7F"/>
    <w:rsid w:val="00B329A1"/>
    <w:rsid w:val="00B74009"/>
    <w:rsid w:val="00B75B6B"/>
    <w:rsid w:val="00B84F99"/>
    <w:rsid w:val="00BC22CC"/>
    <w:rsid w:val="00BE54E2"/>
    <w:rsid w:val="00C6040F"/>
    <w:rsid w:val="00C97CFC"/>
    <w:rsid w:val="00CA0D34"/>
    <w:rsid w:val="00D56CC1"/>
    <w:rsid w:val="00D8679B"/>
    <w:rsid w:val="00D92B01"/>
    <w:rsid w:val="00D94041"/>
    <w:rsid w:val="00DA6D8C"/>
    <w:rsid w:val="00DB3109"/>
    <w:rsid w:val="00DB76B3"/>
    <w:rsid w:val="00DD53A9"/>
    <w:rsid w:val="00DE4239"/>
    <w:rsid w:val="00E2631E"/>
    <w:rsid w:val="00E94CAF"/>
    <w:rsid w:val="00EB1AD1"/>
    <w:rsid w:val="00F4408B"/>
    <w:rsid w:val="00F560E5"/>
    <w:rsid w:val="00FB4F91"/>
    <w:rsid w:val="00FF0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605717"/>
    <w:rPr>
      <w:rFonts w:asciiTheme="minorHAnsi" w:eastAsia="SimSu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c"/>
    <w:uiPriority w:val="34"/>
    <w:qFormat/>
    <w:rsid w:val="00605717"/>
    <w:pPr>
      <w:spacing w:after="160" w:line="259" w:lineRule="auto"/>
      <w:ind w:left="720"/>
      <w:contextualSpacing/>
    </w:pPr>
    <w:rPr>
      <w:rFonts w:asciiTheme="minorHAnsi" w:eastAsiaTheme="minorHAnsi" w:hAnsiTheme="minorHAnsi"/>
      <w:sz w:val="22"/>
      <w:szCs w:val="22"/>
      <w:lang w:eastAsia="en-US"/>
    </w:rPr>
  </w:style>
  <w:style w:type="character" w:customStyle="1" w:styleId="ac">
    <w:name w:val="リスト段落 (文字)"/>
    <w:aliases w:val="- Bullets (文字),Lista1 (文字),1st level - Bullet List Paragraph (文字),List Paragraph1 (文字),Lettre d'introduction (文字),Paragrafo elenco (文字),Normal bullet 2 (文字),Bullet list (文字),Numbered List (文字),Task Body (文字),Viñetas (Inicio Parrafo) (文字)"/>
    <w:link w:val="ab"/>
    <w:uiPriority w:val="34"/>
    <w:qFormat/>
    <w:locked/>
    <w:rsid w:val="00605717"/>
    <w:rPr>
      <w:rFonts w:asciiTheme="minorHAnsi" w:eastAsia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023117">
      <w:bodyDiv w:val="1"/>
      <w:marLeft w:val="0"/>
      <w:marRight w:val="0"/>
      <w:marTop w:val="0"/>
      <w:marBottom w:val="0"/>
      <w:divBdr>
        <w:top w:val="none" w:sz="0" w:space="0" w:color="auto"/>
        <w:left w:val="none" w:sz="0" w:space="0" w:color="auto"/>
        <w:bottom w:val="none" w:sz="0" w:space="0" w:color="auto"/>
        <w:right w:val="none" w:sz="0" w:space="0" w:color="auto"/>
      </w:divBdr>
    </w:div>
    <w:div w:id="367415813">
      <w:bodyDiv w:val="1"/>
      <w:marLeft w:val="0"/>
      <w:marRight w:val="0"/>
      <w:marTop w:val="0"/>
      <w:marBottom w:val="0"/>
      <w:divBdr>
        <w:top w:val="none" w:sz="0" w:space="0" w:color="auto"/>
        <w:left w:val="none" w:sz="0" w:space="0" w:color="auto"/>
        <w:bottom w:val="none" w:sz="0" w:space="0" w:color="auto"/>
        <w:right w:val="none" w:sz="0" w:space="0" w:color="auto"/>
      </w:divBdr>
    </w:div>
    <w:div w:id="518475158">
      <w:bodyDiv w:val="1"/>
      <w:marLeft w:val="0"/>
      <w:marRight w:val="0"/>
      <w:marTop w:val="0"/>
      <w:marBottom w:val="0"/>
      <w:divBdr>
        <w:top w:val="none" w:sz="0" w:space="0" w:color="auto"/>
        <w:left w:val="none" w:sz="0" w:space="0" w:color="auto"/>
        <w:bottom w:val="none" w:sz="0" w:space="0" w:color="auto"/>
        <w:right w:val="none" w:sz="0" w:space="0" w:color="auto"/>
      </w:divBdr>
    </w:div>
    <w:div w:id="783041866">
      <w:bodyDiv w:val="1"/>
      <w:marLeft w:val="0"/>
      <w:marRight w:val="0"/>
      <w:marTop w:val="0"/>
      <w:marBottom w:val="0"/>
      <w:divBdr>
        <w:top w:val="none" w:sz="0" w:space="0" w:color="auto"/>
        <w:left w:val="none" w:sz="0" w:space="0" w:color="auto"/>
        <w:bottom w:val="none" w:sz="0" w:space="0" w:color="auto"/>
        <w:right w:val="none" w:sz="0" w:space="0" w:color="auto"/>
      </w:divBdr>
    </w:div>
    <w:div w:id="908925322">
      <w:bodyDiv w:val="1"/>
      <w:marLeft w:val="0"/>
      <w:marRight w:val="0"/>
      <w:marTop w:val="0"/>
      <w:marBottom w:val="0"/>
      <w:divBdr>
        <w:top w:val="none" w:sz="0" w:space="0" w:color="auto"/>
        <w:left w:val="none" w:sz="0" w:space="0" w:color="auto"/>
        <w:bottom w:val="none" w:sz="0" w:space="0" w:color="auto"/>
        <w:right w:val="none" w:sz="0" w:space="0" w:color="auto"/>
      </w:divBdr>
    </w:div>
    <w:div w:id="931743248">
      <w:bodyDiv w:val="1"/>
      <w:marLeft w:val="0"/>
      <w:marRight w:val="0"/>
      <w:marTop w:val="0"/>
      <w:marBottom w:val="0"/>
      <w:divBdr>
        <w:top w:val="none" w:sz="0" w:space="0" w:color="auto"/>
        <w:left w:val="none" w:sz="0" w:space="0" w:color="auto"/>
        <w:bottom w:val="none" w:sz="0" w:space="0" w:color="auto"/>
        <w:right w:val="none" w:sz="0" w:space="0" w:color="auto"/>
      </w:divBdr>
    </w:div>
    <w:div w:id="976300589">
      <w:bodyDiv w:val="1"/>
      <w:marLeft w:val="0"/>
      <w:marRight w:val="0"/>
      <w:marTop w:val="0"/>
      <w:marBottom w:val="0"/>
      <w:divBdr>
        <w:top w:val="none" w:sz="0" w:space="0" w:color="auto"/>
        <w:left w:val="none" w:sz="0" w:space="0" w:color="auto"/>
        <w:bottom w:val="none" w:sz="0" w:space="0" w:color="auto"/>
        <w:right w:val="none" w:sz="0" w:space="0" w:color="auto"/>
      </w:divBdr>
    </w:div>
    <w:div w:id="161528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651</TotalTime>
  <Pages>5</Pages>
  <Words>1838</Words>
  <Characters>10479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40</cp:revision>
  <dcterms:created xsi:type="dcterms:W3CDTF">2021-10-20T07:13:00Z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